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8B" w:rsidRDefault="00C55696" w:rsidP="00C55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696">
        <w:rPr>
          <w:rFonts w:ascii="Times New Roman" w:hAnsi="Times New Roman" w:cs="Times New Roman"/>
          <w:b/>
          <w:sz w:val="24"/>
          <w:szCs w:val="24"/>
        </w:rPr>
        <w:t>Relacje między państwem  a  koś</w:t>
      </w:r>
      <w:r>
        <w:rPr>
          <w:rFonts w:ascii="Times New Roman" w:hAnsi="Times New Roman" w:cs="Times New Roman"/>
          <w:b/>
          <w:sz w:val="24"/>
          <w:szCs w:val="24"/>
        </w:rPr>
        <w:t>ciołem i związkami wyznaniowymi</w:t>
      </w:r>
    </w:p>
    <w:p w:rsidR="00C55696" w:rsidRDefault="00C55696" w:rsidP="00C55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 neutralne światopoglądowo.</w:t>
      </w:r>
    </w:p>
    <w:p w:rsidR="00C55696" w:rsidRDefault="00C55696" w:rsidP="00C55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 dominującym  w Europie modelem ułożenia relacji państwo – Kościół jest funkcjonowanie krajów neutralnych  światopoglądowo. Oznacza to, że państwo nie ingeruje w kwestie religijne swoich obywateli. Równocześnie gwarantuje im swobodę wyznania i przekonań religijnych oraz równouprawnienie poszczególnych Kościołów i związków wyznaniowych.</w:t>
      </w:r>
    </w:p>
    <w:p w:rsidR="00C55696" w:rsidRDefault="00C55696" w:rsidP="00C55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 laickie inaczej radykalnie  świeckie charakteryzuje się całkowitą separacją władzy państwowej i Kościoła. Konsekwencją jest gwarancja swobód wyznaniowych obywateli, ale bez jej zapewnienia dla instytucji kościelnych. Typowymi takimi państwami są Francja czy Holandia.</w:t>
      </w:r>
    </w:p>
    <w:p w:rsidR="00C55696" w:rsidRDefault="00C55696" w:rsidP="00C55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Państwo umiarkowanie świeckie. W takim państwie istnieje rozdział Kościoła od państwa. Jednak Kościoły jako instytucje mają zagwarantowaną swobodę działania, a nawet zakłada się współpracę z państwem. </w:t>
      </w:r>
      <w:r w:rsidR="00E40A32">
        <w:rPr>
          <w:rFonts w:ascii="Times New Roman" w:hAnsi="Times New Roman" w:cs="Times New Roman"/>
          <w:sz w:val="24"/>
          <w:szCs w:val="24"/>
        </w:rPr>
        <w:t>Konsekwencją takiego rozwiązania jest możliwość uzewnętrzniania swoich przekonań religijnych w życiu publicznym czego przykładem jest Polska. Model taki obowiązuje również w państwach postkomunistycznych, Austrii, Hiszpanii i we Włoszech.</w:t>
      </w:r>
    </w:p>
    <w:p w:rsidR="00E40A32" w:rsidRDefault="00E40A32" w:rsidP="00C55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 wyznaniowe</w:t>
      </w:r>
    </w:p>
    <w:p w:rsidR="00E40A32" w:rsidRDefault="00E40A32" w:rsidP="00C55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Charakteryzuje się ścisłym związkiem państwa i Kościoła. Takie rozwiązanie występuje w krajach muzułmańskich, w których władza świecka jest powiązana z religią. Przykładem jest Maroko. Konsekwencją tego rozwiązania jest uznanie jednego Kościoła za uprzywilejowany, a co za tym idzie  - finansowanie jego potrzeb z budżetu państwa oraz zapewnienie mu wiodącej roli w życiu publicznym. Przykłady: Grecja, Cypr, Finlandia, Norwegia, Dania, Wielka Brytania, Malta.</w:t>
      </w:r>
    </w:p>
    <w:p w:rsidR="00E40A32" w:rsidRDefault="00E40A32" w:rsidP="00C55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 teokratyczne</w:t>
      </w:r>
    </w:p>
    <w:p w:rsidR="00E40A32" w:rsidRDefault="00E40A32" w:rsidP="00C55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państwie takim religia pełni funkcję nadrzędną wobec ustawodawstwa świeckiego. Oznacza to, że system norm prawnych obowiązujących w państwie jest oparty na normach religijnych. Takie rozwiązanie jest obecnie popularne w krajach muzułmańskich, w których religijne prawo </w:t>
      </w:r>
      <w:proofErr w:type="spellStart"/>
      <w:r>
        <w:rPr>
          <w:rFonts w:ascii="Times New Roman" w:hAnsi="Times New Roman" w:cs="Times New Roman"/>
          <w:sz w:val="24"/>
          <w:szCs w:val="24"/>
        </w:rPr>
        <w:t>szariatu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stanowi regulację wszystkich dziedzin życia społecznego i prywatnego. Cechą państw teokratycznych jest przeważnie brak podziału instytucji na państwowe i religijne. Najwyższa władza państwowa jest sprawowana przez osoby duchowne. Najlepszym przykładem jest Watykan czy Iran. </w:t>
      </w:r>
    </w:p>
    <w:p w:rsidR="00E40A32" w:rsidRDefault="00E40A32" w:rsidP="00C55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 ateistyczne</w:t>
      </w:r>
    </w:p>
    <w:p w:rsidR="00E40A32" w:rsidRDefault="0019452E" w:rsidP="00C55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współczesnym świecie państwa ateistyczne stanowią rzadkość. Ten typ relacji jest charakterystyczny przede wszystkim dla państw komunistycznych, które promują ateizm, łączą go przeważnie z różnego rodzaju formami zwalczania praktyk religijnych. Taka walka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może przyjmować zarówno charakter propagandowy jak i terroru wobec wyznawców poszczególnych religii. </w:t>
      </w:r>
    </w:p>
    <w:p w:rsidR="0019452E" w:rsidRDefault="0019452E" w:rsidP="00C55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 wyznaniowe</w:t>
      </w:r>
    </w:p>
    <w:p w:rsidR="00C55696" w:rsidRDefault="0019452E" w:rsidP="00C55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Polsce od wieków jesteśmy związani z religijnością. W naszym kraju funkcjonuje prawo wyznaniowe, czyli zespół norm prawnych za pomocą których Polska określa swoje stosunki do religijności. To prawo gwarantuje poszanowanie wolności sumienia i wyznania oraz określa relacje między państwem a Kościołem i związkami wyznaniowymi. W Polsce nie istnieje jeden dokument prawny, który zawierałby wszystkie zasady prawa wyznaniowego. Jest ono zawarte w konstytucji, ustawach </w:t>
      </w:r>
      <w:r w:rsidR="00F44E7D">
        <w:rPr>
          <w:rFonts w:ascii="Times New Roman" w:hAnsi="Times New Roman" w:cs="Times New Roman"/>
          <w:sz w:val="24"/>
          <w:szCs w:val="24"/>
        </w:rPr>
        <w:t>i rozporządzeniach oraz ratyfikowanych umowach międzynarodowych.</w:t>
      </w:r>
    </w:p>
    <w:p w:rsidR="00F44E7D" w:rsidRPr="00C55696" w:rsidRDefault="00F44E7D" w:rsidP="00C55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Stosunki między Rzecząpospolitą Polską a Kościołem katolickim są oparte na umowie międzynarodowej, którą jest konkordat zawarty w 19936 roku między naszym państwem a Stolicą Apostolską. Zasady w niej zawarte weszły w życie w momencie jego ratyfikacji co nastąpiło w 1998 roku. W przypadku innych Kościołów i związków wyznaniowych jedyną regulacją mogą być ustawy, które są uchwalane na podstawie zawartych z nimi umów przez Radę Ministrów. Zawarcie konkordatu okazało się korzystne dla innych Kościołów i związków wyznaniowych – wynika to z zasady równouprawnienia. Najlepszym przykładem jest kwestia zawierania związków małżeńskich. Zgodnie z konkordatem państwo uznało, że małżeństwa kanoniczne pociągają za sobą takie same skutki jak zawarte w obliczu prawa polskiego. Konkordat zawiera też zapisy dotyczące możliwości nauczania religii w szkołach oraz prawo do zakładania i prowadzenie przez Kościół katolicki wszystkich typów placówek oświatowych i wychowawczych. </w:t>
      </w:r>
      <w:bookmarkStart w:id="0" w:name="_GoBack"/>
      <w:bookmarkEnd w:id="0"/>
    </w:p>
    <w:p w:rsidR="00C55696" w:rsidRPr="00C55696" w:rsidRDefault="00C55696" w:rsidP="00C5569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55696" w:rsidRPr="00C5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FF" w:rsidRDefault="00E213FF" w:rsidP="00F44E7D">
      <w:pPr>
        <w:spacing w:after="0" w:line="240" w:lineRule="auto"/>
      </w:pPr>
      <w:r>
        <w:separator/>
      </w:r>
    </w:p>
  </w:endnote>
  <w:endnote w:type="continuationSeparator" w:id="0">
    <w:p w:rsidR="00E213FF" w:rsidRDefault="00E213FF" w:rsidP="00F4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FF" w:rsidRDefault="00E213FF" w:rsidP="00F44E7D">
      <w:pPr>
        <w:spacing w:after="0" w:line="240" w:lineRule="auto"/>
      </w:pPr>
      <w:r>
        <w:separator/>
      </w:r>
    </w:p>
  </w:footnote>
  <w:footnote w:type="continuationSeparator" w:id="0">
    <w:p w:rsidR="00E213FF" w:rsidRDefault="00E213FF" w:rsidP="00F44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96"/>
    <w:rsid w:val="0019452E"/>
    <w:rsid w:val="00C55696"/>
    <w:rsid w:val="00C75F8B"/>
    <w:rsid w:val="00E213FF"/>
    <w:rsid w:val="00E40A32"/>
    <w:rsid w:val="00F4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9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5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E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E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E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9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5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E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E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E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2021-04-29T09:45:00Z</dcterms:created>
  <dcterms:modified xsi:type="dcterms:W3CDTF">2021-04-29T10:34:00Z</dcterms:modified>
</cp:coreProperties>
</file>