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73" w:rsidRPr="0049492A" w:rsidRDefault="00C62673" w:rsidP="00C626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Test 1 w dniu 13.03.2021</w:t>
      </w:r>
    </w:p>
    <w:p w:rsidR="00C62673" w:rsidRPr="0049492A" w:rsidRDefault="00C62673" w:rsidP="004949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673" w:rsidRPr="0049492A" w:rsidRDefault="00C62673" w:rsidP="0049492A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9492A">
        <w:rPr>
          <w:rFonts w:ascii="Times New Roman" w:hAnsi="Times New Roman"/>
          <w:i/>
          <w:sz w:val="24"/>
          <w:szCs w:val="24"/>
        </w:rPr>
        <w:t>Rysunek techniczny służy:</w:t>
      </w:r>
    </w:p>
    <w:p w:rsidR="00C62673" w:rsidRPr="0049492A" w:rsidRDefault="00C62673" w:rsidP="0049492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Do przekazania informacji między konstruktorem i wykonawcą elementu</w:t>
      </w:r>
    </w:p>
    <w:p w:rsidR="00C62673" w:rsidRPr="0049492A" w:rsidRDefault="00C62673" w:rsidP="0049492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Do przekazania mniejszej ilości informacji niż opis ustny</w:t>
      </w:r>
    </w:p>
    <w:p w:rsidR="00C62673" w:rsidRPr="0049492A" w:rsidRDefault="00C62673" w:rsidP="0049492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Do przekazania mniej szczegółowej informacji niż opis pisemny</w:t>
      </w:r>
    </w:p>
    <w:p w:rsidR="00C62673" w:rsidRPr="0049492A" w:rsidRDefault="00C62673" w:rsidP="0049492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i/>
          <w:sz w:val="16"/>
          <w:szCs w:val="24"/>
        </w:rPr>
      </w:pPr>
    </w:p>
    <w:p w:rsidR="00C62673" w:rsidRPr="0049492A" w:rsidRDefault="00C62673" w:rsidP="0049492A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9492A">
        <w:rPr>
          <w:rFonts w:ascii="Times New Roman" w:hAnsi="Times New Roman"/>
          <w:i/>
          <w:sz w:val="24"/>
          <w:szCs w:val="24"/>
        </w:rPr>
        <w:t>Do rodzajów rysunków technicznych należą:</w:t>
      </w:r>
    </w:p>
    <w:p w:rsidR="00C62673" w:rsidRPr="0049492A" w:rsidRDefault="00C62673" w:rsidP="004949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Odręczny szkic techniczny, Rysunek techniczny części, Rysunek techniczny złożeniowy</w:t>
      </w:r>
    </w:p>
    <w:p w:rsidR="00C62673" w:rsidRPr="0049492A" w:rsidRDefault="00C62673" w:rsidP="004949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Rysunek techniczny części, Rysunek techniczny złożeniowy, Rysunek plastyczny</w:t>
      </w:r>
    </w:p>
    <w:p w:rsidR="00C62673" w:rsidRPr="0049492A" w:rsidRDefault="00C62673" w:rsidP="004949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Rysunek techniczny montażowy, Rysunek techniczny schematyczny, nowela</w:t>
      </w:r>
    </w:p>
    <w:p w:rsidR="00C62673" w:rsidRPr="0049492A" w:rsidRDefault="00C62673" w:rsidP="0049492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24"/>
        </w:rPr>
      </w:pPr>
    </w:p>
    <w:p w:rsidR="00C62673" w:rsidRPr="0049492A" w:rsidRDefault="00C62673" w:rsidP="0049492A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9492A">
        <w:rPr>
          <w:rFonts w:ascii="Times New Roman" w:hAnsi="Times New Roman"/>
          <w:i/>
          <w:sz w:val="24"/>
          <w:szCs w:val="24"/>
        </w:rPr>
        <w:t>W zasadzie rzutowania pierwszego kąta:</w:t>
      </w:r>
    </w:p>
    <w:p w:rsidR="00C62673" w:rsidRPr="0049492A" w:rsidRDefault="00C62673" w:rsidP="004949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Stosujemy te same zasady co w rzutowaniu europejskim</w:t>
      </w:r>
    </w:p>
    <w:p w:rsidR="00C62673" w:rsidRPr="0049492A" w:rsidRDefault="00C62673" w:rsidP="004949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Nie stosujemy rzutowania prostokątnego</w:t>
      </w:r>
    </w:p>
    <w:p w:rsidR="00C62673" w:rsidRPr="0049492A" w:rsidRDefault="00C62673" w:rsidP="004949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Rzutnia jest umieszczana za obserwatorem</w:t>
      </w:r>
    </w:p>
    <w:p w:rsidR="00C62673" w:rsidRPr="0049492A" w:rsidRDefault="00C62673" w:rsidP="0049492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24"/>
        </w:rPr>
      </w:pPr>
    </w:p>
    <w:p w:rsidR="00C62673" w:rsidRPr="0049492A" w:rsidRDefault="00C62673" w:rsidP="0049492A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9492A">
        <w:rPr>
          <w:rFonts w:ascii="Times New Roman" w:hAnsi="Times New Roman"/>
          <w:i/>
          <w:sz w:val="24"/>
          <w:szCs w:val="24"/>
        </w:rPr>
        <w:t>W zasadzie rzutowania pierwszego kąta:</w:t>
      </w:r>
    </w:p>
    <w:p w:rsidR="00C62673" w:rsidRPr="0049492A" w:rsidRDefault="00C62673" w:rsidP="004949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Nie ma obserwatora</w:t>
      </w:r>
    </w:p>
    <w:p w:rsidR="00C62673" w:rsidRPr="0049492A" w:rsidRDefault="00C62673" w:rsidP="004949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Rzut główny jest oznaczany literą A</w:t>
      </w:r>
    </w:p>
    <w:p w:rsidR="00C62673" w:rsidRPr="0049492A" w:rsidRDefault="00C62673" w:rsidP="004949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Rysuje się ślady rzutni na rysunku</w:t>
      </w:r>
    </w:p>
    <w:p w:rsidR="00C62673" w:rsidRPr="0049492A" w:rsidRDefault="00C62673" w:rsidP="0049492A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24"/>
        </w:rPr>
      </w:pPr>
    </w:p>
    <w:p w:rsidR="00C62673" w:rsidRPr="0049492A" w:rsidRDefault="00C62673" w:rsidP="0049492A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9492A">
        <w:rPr>
          <w:rFonts w:ascii="Times New Roman" w:hAnsi="Times New Roman"/>
          <w:i/>
          <w:sz w:val="24"/>
          <w:szCs w:val="24"/>
        </w:rPr>
        <w:t>W zasadzie rzutowania trzeciego kąta:</w:t>
      </w:r>
    </w:p>
    <w:p w:rsidR="00C62673" w:rsidRPr="0049492A" w:rsidRDefault="00C62673" w:rsidP="004949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Stosujemy te same zasady co w rzutowaniu europejskim</w:t>
      </w:r>
    </w:p>
    <w:p w:rsidR="00C62673" w:rsidRPr="0049492A" w:rsidRDefault="00C62673" w:rsidP="004949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Nie stosujemy rzutowania prostokątnego</w:t>
      </w:r>
    </w:p>
    <w:p w:rsidR="00C62673" w:rsidRPr="0049492A" w:rsidRDefault="00C62673" w:rsidP="004949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Rzutnia jest umieszczana między obserwatorem i przedmiotem</w:t>
      </w:r>
    </w:p>
    <w:p w:rsidR="00C62673" w:rsidRPr="0049492A" w:rsidRDefault="00C62673" w:rsidP="0049492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C62673" w:rsidRPr="0049492A" w:rsidRDefault="00C62673" w:rsidP="0049492A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9492A">
        <w:rPr>
          <w:rFonts w:ascii="Times New Roman" w:hAnsi="Times New Roman"/>
          <w:i/>
          <w:sz w:val="24"/>
          <w:szCs w:val="24"/>
        </w:rPr>
        <w:t>W zasadzie rzutowania trzeciego kąta:</w:t>
      </w:r>
    </w:p>
    <w:p w:rsidR="00C62673" w:rsidRPr="0049492A" w:rsidRDefault="00C62673" w:rsidP="004949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Nie ma obserwatora</w:t>
      </w:r>
    </w:p>
    <w:p w:rsidR="00C62673" w:rsidRPr="0049492A" w:rsidRDefault="00C62673" w:rsidP="004949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Rzuty B i E są przestawione w porównaniu z rzutowaniem według pierwszego kąta</w:t>
      </w:r>
    </w:p>
    <w:p w:rsidR="00C62673" w:rsidRPr="0049492A" w:rsidRDefault="00C62673" w:rsidP="004949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Rysuje się ślady rzutni na rysunku</w:t>
      </w:r>
    </w:p>
    <w:p w:rsidR="00C62673" w:rsidRPr="0049492A" w:rsidRDefault="00C62673" w:rsidP="0049492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C62673" w:rsidRPr="0049492A" w:rsidRDefault="00C62673" w:rsidP="0049492A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9492A">
        <w:rPr>
          <w:rFonts w:ascii="Times New Roman" w:hAnsi="Times New Roman"/>
          <w:i/>
          <w:sz w:val="24"/>
          <w:szCs w:val="24"/>
        </w:rPr>
        <w:t>Z zasad rzutowania stosowanych na rysunkach wynika, że:</w:t>
      </w:r>
    </w:p>
    <w:p w:rsidR="00C62673" w:rsidRPr="0049492A" w:rsidRDefault="00C62673" w:rsidP="0049492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9492A">
        <w:rPr>
          <w:rFonts w:ascii="Times New Roman" w:hAnsi="Times New Roman" w:cs="Times New Roman"/>
          <w:bCs/>
          <w:color w:val="auto"/>
        </w:rPr>
        <w:t>Liczba rzutów prostokątnych powinna umożliwić jednoznaczne odzwierciedlenie kształtów przedmiotu</w:t>
      </w:r>
    </w:p>
    <w:p w:rsidR="00C62673" w:rsidRPr="0049492A" w:rsidRDefault="00C62673" w:rsidP="004949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Liczbę rzutów na rysunku powinna być jak najwyższa</w:t>
      </w:r>
    </w:p>
    <w:p w:rsidR="00C62673" w:rsidRPr="0049492A" w:rsidRDefault="00C62673" w:rsidP="004949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492A">
        <w:rPr>
          <w:rFonts w:ascii="Times New Roman" w:hAnsi="Times New Roman"/>
          <w:bCs/>
          <w:sz w:val="24"/>
          <w:szCs w:val="24"/>
        </w:rPr>
        <w:t>Rzutów nie można przesuwać równolegle</w:t>
      </w:r>
    </w:p>
    <w:p w:rsidR="00C62673" w:rsidRPr="0049492A" w:rsidRDefault="00C62673" w:rsidP="0049492A">
      <w:pPr>
        <w:spacing w:after="0" w:line="240" w:lineRule="auto"/>
        <w:jc w:val="both"/>
        <w:rPr>
          <w:rFonts w:ascii="Times New Roman" w:hAnsi="Times New Roman"/>
          <w:bCs/>
          <w:sz w:val="16"/>
          <w:szCs w:val="24"/>
        </w:rPr>
      </w:pPr>
    </w:p>
    <w:p w:rsidR="00C62673" w:rsidRPr="0049492A" w:rsidRDefault="00C62673" w:rsidP="0049492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9492A">
        <w:rPr>
          <w:rFonts w:ascii="Times New Roman" w:hAnsi="Times New Roman"/>
          <w:bCs/>
          <w:i/>
          <w:sz w:val="24"/>
          <w:szCs w:val="24"/>
        </w:rPr>
        <w:t>8) Z zasad rzutowania stosowanych na rysunkach wynika, że:</w:t>
      </w:r>
    </w:p>
    <w:p w:rsidR="00C62673" w:rsidRPr="0049492A" w:rsidRDefault="00C62673" w:rsidP="0049492A">
      <w:pPr>
        <w:pStyle w:val="Akapitzlist"/>
        <w:numPr>
          <w:ilvl w:val="2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49492A">
        <w:rPr>
          <w:rFonts w:ascii="Times New Roman" w:hAnsi="Times New Roman"/>
          <w:bCs/>
          <w:sz w:val="24"/>
          <w:szCs w:val="24"/>
        </w:rPr>
        <w:t>Nie można stosować rzutów skośnych</w:t>
      </w:r>
    </w:p>
    <w:p w:rsidR="00C62673" w:rsidRPr="0049492A" w:rsidRDefault="00C62673" w:rsidP="0049492A">
      <w:pPr>
        <w:pStyle w:val="Akapitzlist"/>
        <w:numPr>
          <w:ilvl w:val="2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Przedmiot rzutowany umieszcza się tak, aby większość jego charakterystycznych płaszczyzn i krawędzi była umieszczona skośnie umieszczona względem rzutni</w:t>
      </w:r>
    </w:p>
    <w:p w:rsidR="00C62673" w:rsidRPr="0049492A" w:rsidRDefault="00C62673" w:rsidP="0049492A">
      <w:pPr>
        <w:pStyle w:val="Akapitzlist"/>
        <w:numPr>
          <w:ilvl w:val="2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Na rzutach mogą być umieszczane widoki i przekroje</w:t>
      </w:r>
    </w:p>
    <w:p w:rsidR="00C62673" w:rsidRPr="0049492A" w:rsidRDefault="00C62673" w:rsidP="0049492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C62673" w:rsidRPr="0049492A" w:rsidRDefault="00C62673" w:rsidP="004949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492A">
        <w:rPr>
          <w:rFonts w:ascii="Times New Roman" w:hAnsi="Times New Roman"/>
          <w:i/>
          <w:sz w:val="24"/>
          <w:szCs w:val="24"/>
        </w:rPr>
        <w:t>9) Podziałki zwiększające to:</w:t>
      </w:r>
    </w:p>
    <w:p w:rsidR="00C62673" w:rsidRPr="0049492A" w:rsidRDefault="00C62673" w:rsidP="004949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1:1, 3:1, 5:1</w:t>
      </w:r>
    </w:p>
    <w:p w:rsidR="00C62673" w:rsidRPr="0049492A" w:rsidRDefault="00C62673" w:rsidP="004949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50:1, 1:6, 40:1</w:t>
      </w:r>
    </w:p>
    <w:p w:rsidR="00C62673" w:rsidRPr="0049492A" w:rsidRDefault="00C62673" w:rsidP="004949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92A">
        <w:rPr>
          <w:rFonts w:ascii="Times New Roman" w:hAnsi="Times New Roman"/>
          <w:sz w:val="24"/>
          <w:szCs w:val="24"/>
        </w:rPr>
        <w:t>5:1, 20:1, 50:1</w:t>
      </w:r>
    </w:p>
    <w:p w:rsidR="00C62673" w:rsidRPr="0049492A" w:rsidRDefault="00C62673" w:rsidP="0049492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C62673" w:rsidRPr="0049492A" w:rsidRDefault="00C62673" w:rsidP="004949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492A">
        <w:rPr>
          <w:rFonts w:ascii="Times New Roman" w:hAnsi="Times New Roman"/>
          <w:i/>
          <w:sz w:val="24"/>
          <w:szCs w:val="24"/>
        </w:rPr>
        <w:t>10) Podziałka to:</w:t>
      </w:r>
    </w:p>
    <w:p w:rsidR="00C62673" w:rsidRPr="0049492A" w:rsidRDefault="00C62673" w:rsidP="004949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to stosunek wymiaru liniowego elementu przedmiotu przedstawionego na oryginale rysunku do wymiaru tego samego elementu na przedmiocie</w:t>
      </w:r>
    </w:p>
    <w:p w:rsidR="00C62673" w:rsidRPr="0049492A" w:rsidRDefault="00C62673" w:rsidP="004949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to stosunek wymiaru linowego elementu na rzeczywistym przedmiocie do wymiaru liniowego elementu przedmiotu przedstawionego na oryginale rysunku</w:t>
      </w:r>
    </w:p>
    <w:p w:rsidR="00C62673" w:rsidRPr="0049492A" w:rsidRDefault="00C62673" w:rsidP="004949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92A">
        <w:rPr>
          <w:rFonts w:ascii="Times New Roman" w:eastAsia="Times New Roman" w:hAnsi="Times New Roman"/>
          <w:sz w:val="24"/>
          <w:szCs w:val="24"/>
          <w:lang w:eastAsia="pl-PL"/>
        </w:rPr>
        <w:t>to iloczyn wymiaru liniowego elementu przedmiotu przedstawionego na oryginale rysunku oraz powiększonego wymiaru tego samego elementu na przedmiocie</w:t>
      </w:r>
      <w:bookmarkStart w:id="0" w:name="_GoBack"/>
      <w:bookmarkEnd w:id="0"/>
    </w:p>
    <w:sectPr w:rsidR="00C62673" w:rsidRPr="0049492A" w:rsidSect="00494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F6E"/>
    <w:multiLevelType w:val="hybridMultilevel"/>
    <w:tmpl w:val="3CF63B04"/>
    <w:lvl w:ilvl="0" w:tplc="FB62AA2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D445F"/>
    <w:multiLevelType w:val="hybridMultilevel"/>
    <w:tmpl w:val="716CD4D8"/>
    <w:lvl w:ilvl="0" w:tplc="FB62AA2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A6233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F006A"/>
    <w:multiLevelType w:val="hybridMultilevel"/>
    <w:tmpl w:val="2F60FBEE"/>
    <w:lvl w:ilvl="0" w:tplc="FB62AA2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9538A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11F2D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51B6F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152D7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37922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00E8C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41370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F2F23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C2E28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CC158F"/>
    <w:multiLevelType w:val="hybridMultilevel"/>
    <w:tmpl w:val="76007DA8"/>
    <w:lvl w:ilvl="0" w:tplc="69C666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6383E32">
      <w:start w:val="1"/>
      <w:numFmt w:val="lowerLetter"/>
      <w:lvlText w:val="%2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9348A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B7B08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44F8C"/>
    <w:multiLevelType w:val="multilevel"/>
    <w:tmpl w:val="22101A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5B2365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E1289"/>
    <w:multiLevelType w:val="hybridMultilevel"/>
    <w:tmpl w:val="85CC8968"/>
    <w:lvl w:ilvl="0" w:tplc="3D3473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B62AA2A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C6BCB804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A0CD6"/>
    <w:multiLevelType w:val="hybridMultilevel"/>
    <w:tmpl w:val="3D6CCBD0"/>
    <w:lvl w:ilvl="0" w:tplc="FB62AA2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97977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6937DA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C30FF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DA74A6"/>
    <w:multiLevelType w:val="multilevel"/>
    <w:tmpl w:val="C4F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3927A6"/>
    <w:multiLevelType w:val="hybridMultilevel"/>
    <w:tmpl w:val="731A2724"/>
    <w:lvl w:ilvl="0" w:tplc="FB62AA2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025E3"/>
    <w:multiLevelType w:val="hybridMultilevel"/>
    <w:tmpl w:val="3B20C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3572E"/>
    <w:multiLevelType w:val="multilevel"/>
    <w:tmpl w:val="BB2C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3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F80C46"/>
    <w:multiLevelType w:val="hybridMultilevel"/>
    <w:tmpl w:val="1FF08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7"/>
  </w:num>
  <w:num w:numId="4">
    <w:abstractNumId w:val="23"/>
  </w:num>
  <w:num w:numId="5">
    <w:abstractNumId w:val="17"/>
  </w:num>
  <w:num w:numId="6">
    <w:abstractNumId w:val="6"/>
  </w:num>
  <w:num w:numId="7">
    <w:abstractNumId w:val="8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21"/>
  </w:num>
  <w:num w:numId="13">
    <w:abstractNumId w:val="10"/>
  </w:num>
  <w:num w:numId="14">
    <w:abstractNumId w:val="7"/>
  </w:num>
  <w:num w:numId="15">
    <w:abstractNumId w:val="15"/>
  </w:num>
  <w:num w:numId="16">
    <w:abstractNumId w:val="2"/>
  </w:num>
  <w:num w:numId="17">
    <w:abstractNumId w:val="22"/>
  </w:num>
  <w:num w:numId="18">
    <w:abstractNumId w:val="9"/>
  </w:num>
  <w:num w:numId="19">
    <w:abstractNumId w:val="20"/>
  </w:num>
  <w:num w:numId="20">
    <w:abstractNumId w:val="12"/>
  </w:num>
  <w:num w:numId="21">
    <w:abstractNumId w:val="26"/>
  </w:num>
  <w:num w:numId="22">
    <w:abstractNumId w:val="13"/>
  </w:num>
  <w:num w:numId="23">
    <w:abstractNumId w:val="18"/>
  </w:num>
  <w:num w:numId="24">
    <w:abstractNumId w:val="24"/>
  </w:num>
  <w:num w:numId="25">
    <w:abstractNumId w:val="3"/>
  </w:num>
  <w:num w:numId="26">
    <w:abstractNumId w:val="0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C5"/>
    <w:rsid w:val="001359C5"/>
    <w:rsid w:val="0049492A"/>
    <w:rsid w:val="00B11747"/>
    <w:rsid w:val="00C62673"/>
    <w:rsid w:val="00D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26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26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26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26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pkaminski</dc:creator>
  <cp:lastModifiedBy>pkaminski</cp:lastModifiedBy>
  <cp:revision>2</cp:revision>
  <dcterms:created xsi:type="dcterms:W3CDTF">2021-03-09T10:50:00Z</dcterms:created>
  <dcterms:modified xsi:type="dcterms:W3CDTF">2021-03-09T10:50:00Z</dcterms:modified>
</cp:coreProperties>
</file>